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B5AF" w14:textId="60DEC14F" w:rsidR="002331CF" w:rsidRPr="003521D7" w:rsidRDefault="00C90124">
      <w:pPr>
        <w:rPr>
          <w:rFonts w:ascii="Verdana" w:hAnsi="Verdana"/>
          <w:lang w:val="en-US"/>
        </w:rPr>
      </w:pPr>
      <w:r w:rsidRPr="003521D7">
        <w:rPr>
          <w:rFonts w:ascii="Verdana" w:hAnsi="Verdana"/>
          <w:lang w:val="en-US"/>
        </w:rPr>
        <w:t>National Disability Policy</w:t>
      </w:r>
    </w:p>
    <w:p w14:paraId="5CAAE24B" w14:textId="22B834FC" w:rsidR="00C90124" w:rsidRPr="003521D7" w:rsidRDefault="00C90124">
      <w:pPr>
        <w:rPr>
          <w:rFonts w:ascii="Verdana" w:hAnsi="Verdana"/>
          <w:lang w:val="en-US"/>
        </w:rPr>
      </w:pPr>
    </w:p>
    <w:p w14:paraId="2A3A4F4A" w14:textId="3452EC9B" w:rsidR="00C90124" w:rsidRPr="003521D7" w:rsidRDefault="00C90124" w:rsidP="00C90124">
      <w:pPr>
        <w:pStyle w:val="NormalWeb"/>
        <w:numPr>
          <w:ilvl w:val="0"/>
          <w:numId w:val="2"/>
        </w:numPr>
        <w:spacing w:before="0" w:beforeAutospacing="0" w:after="300" w:afterAutospacing="0" w:line="420" w:lineRule="atLeast"/>
        <w:rPr>
          <w:rFonts w:ascii="Verdana" w:hAnsi="Verdana"/>
          <w:color w:val="000000"/>
        </w:rPr>
      </w:pPr>
      <w:r w:rsidRPr="003521D7">
        <w:rPr>
          <w:rFonts w:ascii="Verdana" w:hAnsi="Verdana"/>
          <w:color w:val="000000"/>
        </w:rPr>
        <w:t>The</w:t>
      </w:r>
      <w:hyperlink r:id="rId5" w:history="1">
        <w:r w:rsidRPr="003521D7">
          <w:rPr>
            <w:rStyle w:val="Hyperlink"/>
            <w:rFonts w:ascii="Verdana" w:hAnsi="Verdana"/>
            <w:b/>
            <w:bCs/>
            <w:color w:val="BE2296"/>
            <w:u w:val="none"/>
          </w:rPr>
          <w:t> </w:t>
        </w:r>
        <w:r w:rsidRPr="003521D7">
          <w:rPr>
            <w:rStyle w:val="Hyperlink"/>
            <w:rFonts w:ascii="Verdana" w:hAnsi="Verdana"/>
            <w:b/>
            <w:bCs/>
            <w:color w:val="000000" w:themeColor="text1"/>
            <w:u w:val="none"/>
          </w:rPr>
          <w:t>National Disability Inclusion Strat</w:t>
        </w:r>
        <w:r w:rsidRPr="003521D7">
          <w:rPr>
            <w:rStyle w:val="Hyperlink"/>
            <w:rFonts w:ascii="Verdana" w:hAnsi="Verdana"/>
            <w:b/>
            <w:bCs/>
            <w:color w:val="000000" w:themeColor="text1"/>
            <w:u w:val="none"/>
          </w:rPr>
          <w:t>e</w:t>
        </w:r>
        <w:r w:rsidRPr="003521D7">
          <w:rPr>
            <w:rStyle w:val="Hyperlink"/>
            <w:rFonts w:ascii="Verdana" w:hAnsi="Verdana"/>
            <w:b/>
            <w:bCs/>
            <w:color w:val="000000" w:themeColor="text1"/>
            <w:u w:val="none"/>
          </w:rPr>
          <w:t>gy (2017-2021)</w:t>
        </w:r>
      </w:hyperlink>
      <w:r w:rsidRPr="003521D7">
        <w:rPr>
          <w:rFonts w:ascii="Verdana" w:hAnsi="Verdana"/>
          <w:color w:val="000000"/>
        </w:rPr>
        <w:t> (NDIS), was launched in 2017 and was originally intended to run for five years until the end of 2021. It was later extended to 2022.</w:t>
      </w:r>
    </w:p>
    <w:p w14:paraId="1A008C59" w14:textId="59A6FAA9" w:rsidR="00C90124" w:rsidRPr="003521D7" w:rsidRDefault="00C90124" w:rsidP="00C90124">
      <w:pPr>
        <w:pStyle w:val="NormalWeb"/>
        <w:spacing w:before="0" w:beforeAutospacing="0" w:after="300" w:afterAutospacing="0" w:line="420" w:lineRule="atLeast"/>
        <w:rPr>
          <w:rFonts w:ascii="Verdana" w:hAnsi="Verdana"/>
          <w:color w:val="000000"/>
        </w:rPr>
      </w:pPr>
      <w:r w:rsidRPr="003521D7">
        <w:rPr>
          <w:rFonts w:ascii="Verdana" w:hAnsi="Verdana"/>
          <w:color w:val="000000"/>
        </w:rPr>
        <w:t xml:space="preserve">The Strategy is a whole-of-government approach to improving the lives of people with disabilities. </w:t>
      </w:r>
      <w:r w:rsidRPr="003521D7">
        <w:rPr>
          <w:rFonts w:ascii="Verdana" w:hAnsi="Verdana"/>
          <w:color w:val="000000"/>
        </w:rPr>
        <w:t xml:space="preserve">It is the key framework for policy and action to address the needs of people with disabilities. </w:t>
      </w:r>
      <w:r w:rsidRPr="003521D7">
        <w:rPr>
          <w:rFonts w:ascii="Verdana" w:hAnsi="Verdana"/>
          <w:color w:val="000000"/>
        </w:rPr>
        <w:t>It provides a significant framework for all activity across government departments and agencies. This supports progress in delivering on the obligations in the United Nations Convention on the Rights of Persons with Disabilities (UNCRPD) which was ratified in March 2018.</w:t>
      </w:r>
    </w:p>
    <w:p w14:paraId="79C35C37" w14:textId="0AD48223" w:rsidR="00C90124" w:rsidRPr="003521D7" w:rsidRDefault="00C90124" w:rsidP="00C90124">
      <w:pPr>
        <w:pStyle w:val="ListParagraph"/>
        <w:numPr>
          <w:ilvl w:val="0"/>
          <w:numId w:val="2"/>
        </w:numPr>
        <w:shd w:val="clear" w:color="auto" w:fill="FFFFFF"/>
        <w:rPr>
          <w:rFonts w:ascii="Verdana" w:eastAsia="Times New Roman" w:hAnsi="Verdana" w:cs="Times New Roman"/>
          <w:color w:val="000000"/>
          <w:lang w:val="en-IE" w:eastAsia="en-GB"/>
        </w:rPr>
      </w:pPr>
      <w:r w:rsidRPr="003521D7">
        <w:rPr>
          <w:rFonts w:ascii="Verdana" w:eastAsia="Times New Roman" w:hAnsi="Verdana" w:cs="Times New Roman"/>
          <w:b/>
          <w:bCs/>
          <w:color w:val="000000"/>
          <w:lang w:val="en-IE" w:eastAsia="en-GB"/>
        </w:rPr>
        <w:t>The National Housing Strategy for Disabled People 2022 – 2027</w:t>
      </w:r>
      <w:r w:rsidRPr="003521D7">
        <w:rPr>
          <w:rFonts w:ascii="Verdana" w:eastAsia="Times New Roman" w:hAnsi="Verdana" w:cs="Times New Roman"/>
          <w:color w:val="000000"/>
          <w:lang w:val="en-IE" w:eastAsia="en-GB"/>
        </w:rPr>
        <w:t xml:space="preserve"> sets out the Government’s vision for delivering housing and related supports for disabled people and has been developed by the:</w:t>
      </w:r>
    </w:p>
    <w:p w14:paraId="56B5ABC1" w14:textId="77777777" w:rsidR="00C90124" w:rsidRPr="00C90124" w:rsidRDefault="00C90124" w:rsidP="00C90124">
      <w:pPr>
        <w:numPr>
          <w:ilvl w:val="0"/>
          <w:numId w:val="3"/>
        </w:numPr>
        <w:shd w:val="clear" w:color="auto" w:fill="FFFFFF"/>
        <w:spacing w:before="100" w:beforeAutospacing="1" w:after="150"/>
        <w:ind w:hanging="225"/>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Department of Housing, Local Government and Heritage</w:t>
      </w:r>
    </w:p>
    <w:p w14:paraId="128AFC09" w14:textId="77777777" w:rsidR="00C90124" w:rsidRPr="00C90124" w:rsidRDefault="00C90124" w:rsidP="00C90124">
      <w:pPr>
        <w:numPr>
          <w:ilvl w:val="0"/>
          <w:numId w:val="3"/>
        </w:numPr>
        <w:shd w:val="clear" w:color="auto" w:fill="FFFFFF"/>
        <w:spacing w:before="100" w:beforeAutospacing="1" w:after="150"/>
        <w:ind w:hanging="225"/>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Department of Health</w:t>
      </w:r>
    </w:p>
    <w:p w14:paraId="78F38E7A" w14:textId="77777777" w:rsidR="00C90124" w:rsidRPr="00C90124" w:rsidRDefault="00C90124" w:rsidP="00C90124">
      <w:pPr>
        <w:numPr>
          <w:ilvl w:val="0"/>
          <w:numId w:val="3"/>
        </w:numPr>
        <w:shd w:val="clear" w:color="auto" w:fill="FFFFFF"/>
        <w:spacing w:before="100" w:beforeAutospacing="1"/>
        <w:ind w:hanging="225"/>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Department of Children, Equality, Disability, Integration and Youth.</w:t>
      </w:r>
    </w:p>
    <w:p w14:paraId="51B788F9" w14:textId="77777777" w:rsidR="00C90124" w:rsidRPr="003521D7" w:rsidRDefault="00C90124" w:rsidP="00C90124">
      <w:pPr>
        <w:shd w:val="clear" w:color="auto" w:fill="FFFFFF"/>
        <w:rPr>
          <w:rFonts w:ascii="Verdana" w:eastAsia="Times New Roman" w:hAnsi="Verdana" w:cs="Times New Roman"/>
          <w:color w:val="000000"/>
          <w:lang w:val="en-IE" w:eastAsia="en-GB"/>
        </w:rPr>
      </w:pPr>
    </w:p>
    <w:p w14:paraId="32ADDAC7" w14:textId="090E9466" w:rsidR="00C90124" w:rsidRPr="00C90124" w:rsidRDefault="00C90124" w:rsidP="00C90124">
      <w:pPr>
        <w:shd w:val="clear" w:color="auto" w:fill="FFFFFF"/>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The second National Strategy to 2027 will build on the achievements of the 2011 Strategy, continuing the journey of the last 10 years which saw:</w:t>
      </w:r>
    </w:p>
    <w:p w14:paraId="52AED2E4" w14:textId="77777777" w:rsidR="00C90124" w:rsidRPr="00C90124" w:rsidRDefault="00C90124" w:rsidP="00C90124">
      <w:pPr>
        <w:numPr>
          <w:ilvl w:val="0"/>
          <w:numId w:val="4"/>
        </w:numPr>
        <w:shd w:val="clear" w:color="auto" w:fill="FFFFFF"/>
        <w:spacing w:before="100" w:beforeAutospacing="1" w:after="150"/>
        <w:ind w:hanging="225"/>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many people with disabilities allocated suitable housing</w:t>
      </w:r>
    </w:p>
    <w:p w14:paraId="17DD636D" w14:textId="77777777" w:rsidR="00C90124" w:rsidRPr="00C90124" w:rsidRDefault="00C90124" w:rsidP="00C90124">
      <w:pPr>
        <w:numPr>
          <w:ilvl w:val="0"/>
          <w:numId w:val="4"/>
        </w:numPr>
        <w:shd w:val="clear" w:color="auto" w:fill="FFFFFF"/>
        <w:spacing w:before="100" w:beforeAutospacing="1" w:after="150"/>
        <w:ind w:hanging="225"/>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new structures developed to align housing provision with needed health and social care supports</w:t>
      </w:r>
    </w:p>
    <w:p w14:paraId="233C03F9" w14:textId="70797236" w:rsidR="00C90124" w:rsidRPr="00C90124" w:rsidRDefault="00C90124" w:rsidP="00C90124">
      <w:pPr>
        <w:numPr>
          <w:ilvl w:val="0"/>
          <w:numId w:val="4"/>
        </w:numPr>
        <w:shd w:val="clear" w:color="auto" w:fill="FFFFFF"/>
        <w:spacing w:before="100" w:beforeAutospacing="1" w:after="150"/>
        <w:ind w:hanging="225"/>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progress made on de</w:t>
      </w:r>
      <w:r w:rsidR="003521D7">
        <w:rPr>
          <w:rFonts w:ascii="Verdana" w:eastAsia="Times New Roman" w:hAnsi="Verdana" w:cs="Times New Roman"/>
          <w:color w:val="000000"/>
          <w:lang w:val="en-IE" w:eastAsia="en-GB"/>
        </w:rPr>
        <w:t>-</w:t>
      </w:r>
      <w:r w:rsidRPr="00C90124">
        <w:rPr>
          <w:rFonts w:ascii="Verdana" w:eastAsia="Times New Roman" w:hAnsi="Verdana" w:cs="Times New Roman"/>
          <w:color w:val="000000"/>
          <w:lang w:val="en-IE" w:eastAsia="en-GB"/>
        </w:rPr>
        <w:t>congregation into community residential care</w:t>
      </w:r>
    </w:p>
    <w:p w14:paraId="507123D9" w14:textId="0F5FBBAA" w:rsidR="00C90124" w:rsidRPr="003521D7" w:rsidRDefault="00C90124" w:rsidP="00C90124">
      <w:pPr>
        <w:numPr>
          <w:ilvl w:val="0"/>
          <w:numId w:val="4"/>
        </w:numPr>
        <w:shd w:val="clear" w:color="auto" w:fill="FFFFFF"/>
        <w:spacing w:before="100" w:beforeAutospacing="1"/>
        <w:ind w:hanging="225"/>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increasing awareness and understanding of disability and housing within housing and disability services.</w:t>
      </w:r>
    </w:p>
    <w:p w14:paraId="66AF1B7B" w14:textId="77777777" w:rsidR="00C90124" w:rsidRPr="00C90124" w:rsidRDefault="00C90124" w:rsidP="003521D7">
      <w:pPr>
        <w:shd w:val="clear" w:color="auto" w:fill="FFFFFF"/>
        <w:spacing w:before="100" w:beforeAutospacing="1"/>
        <w:ind w:left="495"/>
        <w:rPr>
          <w:rFonts w:ascii="Verdana" w:eastAsia="Times New Roman" w:hAnsi="Verdana" w:cs="Times New Roman"/>
          <w:color w:val="000000"/>
          <w:lang w:val="en-IE" w:eastAsia="en-GB"/>
        </w:rPr>
      </w:pPr>
    </w:p>
    <w:p w14:paraId="0FD563F1" w14:textId="44C8D085" w:rsidR="00C90124" w:rsidRPr="003521D7" w:rsidRDefault="00C90124" w:rsidP="00C90124">
      <w:pPr>
        <w:shd w:val="clear" w:color="auto" w:fill="FFFFFF"/>
        <w:rPr>
          <w:rFonts w:ascii="Verdana" w:eastAsia="Times New Roman" w:hAnsi="Verdana" w:cs="Times New Roman"/>
          <w:color w:val="000000"/>
          <w:lang w:val="en-IE" w:eastAsia="en-GB"/>
        </w:rPr>
      </w:pPr>
      <w:r w:rsidRPr="00C90124">
        <w:rPr>
          <w:rFonts w:ascii="Verdana" w:eastAsia="Times New Roman" w:hAnsi="Verdana" w:cs="Times New Roman"/>
          <w:color w:val="000000"/>
          <w:lang w:val="en-IE" w:eastAsia="en-GB"/>
        </w:rPr>
        <w:t xml:space="preserve">2022 Strategy </w:t>
      </w:r>
      <w:r w:rsidR="003521D7">
        <w:rPr>
          <w:rFonts w:ascii="Verdana" w:eastAsia="Times New Roman" w:hAnsi="Verdana" w:cs="Times New Roman"/>
          <w:color w:val="000000"/>
          <w:lang w:val="en-IE" w:eastAsia="en-GB"/>
        </w:rPr>
        <w:t xml:space="preserve">places </w:t>
      </w:r>
      <w:r w:rsidRPr="00C90124">
        <w:rPr>
          <w:rFonts w:ascii="Verdana" w:eastAsia="Times New Roman" w:hAnsi="Verdana" w:cs="Times New Roman"/>
          <w:color w:val="000000"/>
          <w:lang w:val="en-IE" w:eastAsia="en-GB"/>
        </w:rPr>
        <w:t>emphasis on disabled people having choice and control over their living arrangements.</w:t>
      </w:r>
    </w:p>
    <w:p w14:paraId="63392C2E" w14:textId="4D2EEED9" w:rsidR="00C90124" w:rsidRPr="003521D7" w:rsidRDefault="00C90124" w:rsidP="00C90124">
      <w:pPr>
        <w:shd w:val="clear" w:color="auto" w:fill="FFFFFF"/>
        <w:rPr>
          <w:rFonts w:ascii="Verdana" w:eastAsia="Times New Roman" w:hAnsi="Verdana" w:cs="Times New Roman"/>
          <w:color w:val="000000"/>
          <w:lang w:val="en-IE" w:eastAsia="en-GB"/>
        </w:rPr>
      </w:pPr>
    </w:p>
    <w:p w14:paraId="1C8DEA67" w14:textId="09D70EEC" w:rsidR="00C90124" w:rsidRPr="003521D7" w:rsidRDefault="00C90124" w:rsidP="00C90124">
      <w:pPr>
        <w:shd w:val="clear" w:color="auto" w:fill="FFFFFF"/>
        <w:rPr>
          <w:rFonts w:ascii="Verdana" w:eastAsia="Times New Roman" w:hAnsi="Verdana" w:cs="Times New Roman"/>
          <w:color w:val="000000"/>
          <w:lang w:val="en-IE" w:eastAsia="en-GB"/>
        </w:rPr>
      </w:pPr>
      <w:r w:rsidRPr="003521D7">
        <w:rPr>
          <w:rFonts w:ascii="Verdana" w:eastAsia="Times New Roman" w:hAnsi="Verdana" w:cs="Times New Roman"/>
          <w:color w:val="000000"/>
          <w:lang w:val="en-IE" w:eastAsia="en-GB"/>
        </w:rPr>
        <w:lastRenderedPageBreak/>
        <w:t xml:space="preserve">The Strategy: </w:t>
      </w:r>
      <w:hyperlink r:id="rId6" w:history="1">
        <w:r w:rsidRPr="003521D7">
          <w:rPr>
            <w:rStyle w:val="Hyperlink"/>
            <w:rFonts w:ascii="Verdana" w:eastAsia="Times New Roman" w:hAnsi="Verdana" w:cs="Times New Roman"/>
            <w:lang w:val="en-IE" w:eastAsia="en-GB"/>
          </w:rPr>
          <w:t>https://www.gov.ie/pdf/?file=https://assets.gov.ie/213153/a6abe06d-5651-4313-b75c-46571b2378c2.pdf#page=null</w:t>
        </w:r>
      </w:hyperlink>
    </w:p>
    <w:p w14:paraId="4E1C9EBC" w14:textId="1A641D79" w:rsidR="00C90124" w:rsidRPr="003521D7" w:rsidRDefault="00C90124" w:rsidP="00C90124">
      <w:pPr>
        <w:shd w:val="clear" w:color="auto" w:fill="FFFFFF"/>
        <w:rPr>
          <w:rFonts w:ascii="Verdana" w:eastAsia="Times New Roman" w:hAnsi="Verdana" w:cs="Times New Roman"/>
          <w:color w:val="000000"/>
          <w:lang w:val="en-IE" w:eastAsia="en-GB"/>
        </w:rPr>
      </w:pPr>
    </w:p>
    <w:p w14:paraId="0DCB651B" w14:textId="7791BCBD" w:rsidR="00C90124" w:rsidRPr="003521D7" w:rsidRDefault="00C90124" w:rsidP="00C90124">
      <w:pPr>
        <w:shd w:val="clear" w:color="auto" w:fill="FFFFFF"/>
        <w:rPr>
          <w:rFonts w:ascii="Verdana" w:eastAsia="Times New Roman" w:hAnsi="Verdana" w:cs="Times New Roman"/>
          <w:color w:val="000000"/>
          <w:lang w:val="en-IE" w:eastAsia="en-GB"/>
        </w:rPr>
      </w:pPr>
      <w:r w:rsidRPr="003521D7">
        <w:rPr>
          <w:rFonts w:ascii="Verdana" w:eastAsia="Times New Roman" w:hAnsi="Verdana" w:cs="Times New Roman"/>
          <w:color w:val="000000"/>
          <w:lang w:val="en-IE" w:eastAsia="en-GB"/>
        </w:rPr>
        <w:t xml:space="preserve">Easy-to-Read: </w:t>
      </w:r>
      <w:hyperlink r:id="rId7" w:history="1">
        <w:r w:rsidRPr="003521D7">
          <w:rPr>
            <w:rStyle w:val="Hyperlink"/>
            <w:rFonts w:ascii="Verdana" w:eastAsia="Times New Roman" w:hAnsi="Verdana" w:cs="Times New Roman"/>
            <w:lang w:val="en-IE" w:eastAsia="en-GB"/>
          </w:rPr>
          <w:t>https://www.gov.ie/pdf/?file=https://assets.gov.ie/213196/e930de51-e200-4fe5-aba8-ca6e81ecf2a7.pdf#page=null</w:t>
        </w:r>
      </w:hyperlink>
      <w:r w:rsidRPr="003521D7">
        <w:rPr>
          <w:rFonts w:ascii="Verdana" w:eastAsia="Times New Roman" w:hAnsi="Verdana" w:cs="Times New Roman"/>
          <w:color w:val="000000"/>
          <w:lang w:val="en-IE" w:eastAsia="en-GB"/>
        </w:rPr>
        <w:t xml:space="preserve"> </w:t>
      </w:r>
    </w:p>
    <w:p w14:paraId="2D028E61" w14:textId="561CF27C" w:rsidR="00C90124" w:rsidRPr="003521D7" w:rsidRDefault="00C90124" w:rsidP="00C90124">
      <w:pPr>
        <w:shd w:val="clear" w:color="auto" w:fill="FFFFFF"/>
        <w:rPr>
          <w:rFonts w:ascii="Verdana" w:eastAsia="Times New Roman" w:hAnsi="Verdana" w:cs="Times New Roman"/>
          <w:color w:val="000000"/>
          <w:lang w:val="en-IE" w:eastAsia="en-GB"/>
        </w:rPr>
      </w:pPr>
    </w:p>
    <w:p w14:paraId="2F8F5152" w14:textId="282F7B33" w:rsidR="00C90124" w:rsidRPr="003521D7" w:rsidRDefault="00C90124" w:rsidP="00C90124">
      <w:pPr>
        <w:shd w:val="clear" w:color="auto" w:fill="FFFFFF"/>
        <w:rPr>
          <w:rFonts w:ascii="Verdana" w:eastAsia="Times New Roman" w:hAnsi="Verdana" w:cs="Times New Roman"/>
          <w:color w:val="000000"/>
          <w:lang w:val="en-IE" w:eastAsia="en-GB"/>
        </w:rPr>
      </w:pPr>
    </w:p>
    <w:p w14:paraId="2F0C8FCA" w14:textId="43FD88E4" w:rsidR="00C90124" w:rsidRPr="003521D7" w:rsidRDefault="00C90124" w:rsidP="00C90124">
      <w:pPr>
        <w:pStyle w:val="ListParagraph"/>
        <w:numPr>
          <w:ilvl w:val="0"/>
          <w:numId w:val="2"/>
        </w:numPr>
        <w:rPr>
          <w:rFonts w:ascii="Verdana" w:eastAsia="Times New Roman" w:hAnsi="Verdana" w:cs="Times New Roman"/>
          <w:lang w:val="en-IE" w:eastAsia="en-GB"/>
        </w:rPr>
      </w:pPr>
      <w:r w:rsidRPr="003521D7">
        <w:rPr>
          <w:rFonts w:ascii="Verdana" w:eastAsia="Times New Roman" w:hAnsi="Verdana" w:cs="Times New Roman"/>
          <w:color w:val="000000"/>
          <w:shd w:val="clear" w:color="auto" w:fill="FFFFFF"/>
          <w:lang w:val="en-IE" w:eastAsia="en-GB"/>
        </w:rPr>
        <w:t>In November 2021, Ireland submitted its </w:t>
      </w:r>
      <w:hyperlink r:id="rId8" w:anchor=":~:text=On%2010%20November%202021%2C%20Minister,rights%20of%20people%20with%20disabilities." w:history="1">
        <w:r w:rsidRPr="003521D7">
          <w:rPr>
            <w:rFonts w:ascii="Verdana" w:eastAsia="Times New Roman" w:hAnsi="Verdana" w:cs="Times New Roman"/>
            <w:b/>
            <w:bCs/>
            <w:color w:val="BE2296"/>
            <w:u w:val="single"/>
            <w:shd w:val="clear" w:color="auto" w:fill="FFFFFF"/>
            <w:lang w:val="en-IE" w:eastAsia="en-GB"/>
          </w:rPr>
          <w:t>first state party report</w:t>
        </w:r>
      </w:hyperlink>
      <w:r w:rsidRPr="003521D7">
        <w:rPr>
          <w:rFonts w:ascii="Verdana" w:eastAsia="Times New Roman" w:hAnsi="Verdana" w:cs="Times New Roman"/>
          <w:color w:val="000000"/>
          <w:shd w:val="clear" w:color="auto" w:fill="FFFFFF"/>
          <w:lang w:val="en-IE" w:eastAsia="en-GB"/>
        </w:rPr>
        <w:t xml:space="preserve"> to the UN Committee on the Rights of Persons with Disabilities. The report describes what Ireland is doing to protect and enhance the rights of people with disabilities. </w:t>
      </w:r>
    </w:p>
    <w:p w14:paraId="40962726" w14:textId="32BEA66D" w:rsidR="00C90124" w:rsidRPr="003521D7" w:rsidRDefault="00C90124" w:rsidP="00C90124">
      <w:pPr>
        <w:shd w:val="clear" w:color="auto" w:fill="FFFFFF"/>
        <w:ind w:left="360"/>
        <w:rPr>
          <w:rFonts w:ascii="Verdana" w:eastAsia="Times New Roman" w:hAnsi="Verdana" w:cs="Times New Roman"/>
          <w:color w:val="000000"/>
          <w:lang w:val="en-IE" w:eastAsia="en-GB"/>
        </w:rPr>
      </w:pPr>
    </w:p>
    <w:p w14:paraId="57037917" w14:textId="64A64558" w:rsidR="00C90124" w:rsidRPr="003521D7" w:rsidRDefault="00C90124" w:rsidP="00C90124">
      <w:pPr>
        <w:shd w:val="clear" w:color="auto" w:fill="FFFFFF"/>
        <w:ind w:left="360"/>
        <w:rPr>
          <w:rFonts w:ascii="Verdana" w:eastAsia="Times New Roman" w:hAnsi="Verdana" w:cs="Times New Roman"/>
          <w:color w:val="000000"/>
          <w:lang w:val="en-IE" w:eastAsia="en-GB"/>
        </w:rPr>
      </w:pPr>
      <w:r w:rsidRPr="003521D7">
        <w:rPr>
          <w:rFonts w:ascii="Verdana" w:eastAsia="Times New Roman" w:hAnsi="Verdana" w:cs="Times New Roman"/>
          <w:color w:val="000000"/>
          <w:lang w:val="en-IE" w:eastAsia="en-GB"/>
        </w:rPr>
        <w:t xml:space="preserve">The DPCN submitted </w:t>
      </w:r>
      <w:r w:rsidR="003521D7" w:rsidRPr="003521D7">
        <w:rPr>
          <w:rFonts w:ascii="Verdana" w:eastAsia="Times New Roman" w:hAnsi="Verdana" w:cs="Times New Roman"/>
          <w:color w:val="000000"/>
          <w:lang w:val="en-IE" w:eastAsia="en-GB"/>
        </w:rPr>
        <w:t>a response to this report and it can be accessed here</w:t>
      </w:r>
    </w:p>
    <w:p w14:paraId="59BF278B" w14:textId="155CF2E3" w:rsidR="003521D7" w:rsidRPr="003521D7" w:rsidRDefault="003521D7" w:rsidP="00C90124">
      <w:pPr>
        <w:shd w:val="clear" w:color="auto" w:fill="FFFFFF"/>
        <w:ind w:left="360"/>
        <w:rPr>
          <w:rFonts w:ascii="Verdana" w:eastAsia="Times New Roman" w:hAnsi="Verdana" w:cs="Times New Roman"/>
          <w:color w:val="000000"/>
          <w:lang w:val="en-IE" w:eastAsia="en-GB"/>
        </w:rPr>
      </w:pPr>
    </w:p>
    <w:p w14:paraId="29DEBDD1" w14:textId="29DDFB47" w:rsidR="003521D7" w:rsidRPr="003521D7" w:rsidRDefault="003521D7" w:rsidP="00C90124">
      <w:pPr>
        <w:shd w:val="clear" w:color="auto" w:fill="FFFFFF"/>
        <w:ind w:left="360"/>
        <w:rPr>
          <w:rFonts w:ascii="Verdana" w:eastAsia="Times New Roman" w:hAnsi="Verdana" w:cs="Times New Roman"/>
          <w:color w:val="000000"/>
          <w:lang w:val="en-IE" w:eastAsia="en-GB"/>
        </w:rPr>
      </w:pPr>
      <w:hyperlink r:id="rId9" w:history="1">
        <w:r w:rsidRPr="003521D7">
          <w:rPr>
            <w:rStyle w:val="Hyperlink"/>
            <w:rFonts w:ascii="Verdana" w:eastAsia="Times New Roman" w:hAnsi="Verdana" w:cs="Times New Roman"/>
            <w:lang w:val="en-IE" w:eastAsia="en-GB"/>
          </w:rPr>
          <w:t>https://www.mentalhealthreform.ie/wp-content/uploads/2021/04/DPCN-Response-to-State-Draft-Report-CRPD-9-April-2021.pdf</w:t>
        </w:r>
      </w:hyperlink>
      <w:r w:rsidRPr="003521D7">
        <w:rPr>
          <w:rFonts w:ascii="Verdana" w:eastAsia="Times New Roman" w:hAnsi="Verdana" w:cs="Times New Roman"/>
          <w:color w:val="000000"/>
          <w:lang w:val="en-IE" w:eastAsia="en-GB"/>
        </w:rPr>
        <w:t xml:space="preserve"> </w:t>
      </w:r>
    </w:p>
    <w:p w14:paraId="51E15962" w14:textId="77777777" w:rsidR="00C90124" w:rsidRPr="003521D7" w:rsidRDefault="00C90124" w:rsidP="00C90124">
      <w:pPr>
        <w:shd w:val="clear" w:color="auto" w:fill="FFFFFF"/>
        <w:rPr>
          <w:rFonts w:ascii="Verdana" w:eastAsia="Times New Roman" w:hAnsi="Verdana" w:cs="Times New Roman"/>
          <w:color w:val="000000"/>
          <w:lang w:val="en-IE" w:eastAsia="en-GB"/>
        </w:rPr>
      </w:pPr>
    </w:p>
    <w:sectPr w:rsidR="00C90124" w:rsidRPr="003521D7" w:rsidSect="00AB40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FA"/>
    <w:multiLevelType w:val="multilevel"/>
    <w:tmpl w:val="4B12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65A60"/>
    <w:multiLevelType w:val="hybridMultilevel"/>
    <w:tmpl w:val="9322E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4A34BE"/>
    <w:multiLevelType w:val="hybridMultilevel"/>
    <w:tmpl w:val="EB443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9F7BD2"/>
    <w:multiLevelType w:val="multilevel"/>
    <w:tmpl w:val="0F6A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24"/>
    <w:rsid w:val="003521D7"/>
    <w:rsid w:val="009019C2"/>
    <w:rsid w:val="00AB4090"/>
    <w:rsid w:val="00AC0481"/>
    <w:rsid w:val="00C901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6E7C9FC"/>
  <w15:chartTrackingRefBased/>
  <w15:docId w15:val="{2FD9F0E2-1A65-D044-91B1-F5BD62A4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124"/>
    <w:pPr>
      <w:ind w:left="720"/>
      <w:contextualSpacing/>
    </w:pPr>
  </w:style>
  <w:style w:type="paragraph" w:styleId="NormalWeb">
    <w:name w:val="Normal (Web)"/>
    <w:basedOn w:val="Normal"/>
    <w:uiPriority w:val="99"/>
    <w:semiHidden/>
    <w:unhideWhenUsed/>
    <w:rsid w:val="00C90124"/>
    <w:pPr>
      <w:spacing w:before="100" w:beforeAutospacing="1" w:after="100" w:afterAutospacing="1"/>
    </w:pPr>
    <w:rPr>
      <w:rFonts w:ascii="Times New Roman" w:eastAsia="Times New Roman" w:hAnsi="Times New Roman" w:cs="Times New Roman"/>
      <w:lang w:val="en-IE" w:eastAsia="en-GB"/>
    </w:rPr>
  </w:style>
  <w:style w:type="character" w:styleId="Hyperlink">
    <w:name w:val="Hyperlink"/>
    <w:basedOn w:val="DefaultParagraphFont"/>
    <w:uiPriority w:val="99"/>
    <w:unhideWhenUsed/>
    <w:rsid w:val="00C90124"/>
    <w:rPr>
      <w:color w:val="0000FF"/>
      <w:u w:val="single"/>
    </w:rPr>
  </w:style>
  <w:style w:type="character" w:styleId="UnresolvedMention">
    <w:name w:val="Unresolved Mention"/>
    <w:basedOn w:val="DefaultParagraphFont"/>
    <w:uiPriority w:val="99"/>
    <w:semiHidden/>
    <w:unhideWhenUsed/>
    <w:rsid w:val="00C90124"/>
    <w:rPr>
      <w:color w:val="605E5C"/>
      <w:shd w:val="clear" w:color="auto" w:fill="E1DFDD"/>
    </w:rPr>
  </w:style>
  <w:style w:type="character" w:styleId="FollowedHyperlink">
    <w:name w:val="FollowedHyperlink"/>
    <w:basedOn w:val="DefaultParagraphFont"/>
    <w:uiPriority w:val="99"/>
    <w:semiHidden/>
    <w:unhideWhenUsed/>
    <w:rsid w:val="00352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032">
      <w:bodyDiv w:val="1"/>
      <w:marLeft w:val="0"/>
      <w:marRight w:val="0"/>
      <w:marTop w:val="0"/>
      <w:marBottom w:val="0"/>
      <w:divBdr>
        <w:top w:val="none" w:sz="0" w:space="0" w:color="auto"/>
        <w:left w:val="none" w:sz="0" w:space="0" w:color="auto"/>
        <w:bottom w:val="none" w:sz="0" w:space="0" w:color="auto"/>
        <w:right w:val="none" w:sz="0" w:space="0" w:color="auto"/>
      </w:divBdr>
    </w:div>
    <w:div w:id="1473670841">
      <w:bodyDiv w:val="1"/>
      <w:marLeft w:val="0"/>
      <w:marRight w:val="0"/>
      <w:marTop w:val="0"/>
      <w:marBottom w:val="0"/>
      <w:divBdr>
        <w:top w:val="none" w:sz="0" w:space="0" w:color="auto"/>
        <w:left w:val="none" w:sz="0" w:space="0" w:color="auto"/>
        <w:bottom w:val="none" w:sz="0" w:space="0" w:color="auto"/>
        <w:right w:val="none" w:sz="0" w:space="0" w:color="auto"/>
      </w:divBdr>
    </w:div>
    <w:div w:id="1483039136">
      <w:bodyDiv w:val="1"/>
      <w:marLeft w:val="0"/>
      <w:marRight w:val="0"/>
      <w:marTop w:val="0"/>
      <w:marBottom w:val="0"/>
      <w:divBdr>
        <w:top w:val="none" w:sz="0" w:space="0" w:color="auto"/>
        <w:left w:val="none" w:sz="0" w:space="0" w:color="auto"/>
        <w:bottom w:val="none" w:sz="0" w:space="0" w:color="auto"/>
        <w:right w:val="none" w:sz="0" w:space="0" w:color="auto"/>
      </w:divBdr>
      <w:divsChild>
        <w:div w:id="1088889141">
          <w:marLeft w:val="0"/>
          <w:marRight w:val="0"/>
          <w:marTop w:val="0"/>
          <w:marBottom w:val="300"/>
          <w:divBdr>
            <w:top w:val="none" w:sz="0" w:space="0" w:color="auto"/>
            <w:left w:val="none" w:sz="0" w:space="0" w:color="auto"/>
            <w:bottom w:val="none" w:sz="0" w:space="0" w:color="auto"/>
            <w:right w:val="none" w:sz="0" w:space="0" w:color="auto"/>
          </w:divBdr>
          <w:divsChild>
            <w:div w:id="151026321">
              <w:marLeft w:val="-225"/>
              <w:marRight w:val="-225"/>
              <w:marTop w:val="0"/>
              <w:marBottom w:val="0"/>
              <w:divBdr>
                <w:top w:val="none" w:sz="0" w:space="0" w:color="auto"/>
                <w:left w:val="none" w:sz="0" w:space="0" w:color="auto"/>
                <w:bottom w:val="none" w:sz="0" w:space="0" w:color="auto"/>
                <w:right w:val="none" w:sz="0" w:space="0" w:color="auto"/>
              </w:divBdr>
            </w:div>
          </w:divsChild>
        </w:div>
        <w:div w:id="1173955881">
          <w:marLeft w:val="0"/>
          <w:marRight w:val="0"/>
          <w:marTop w:val="0"/>
          <w:marBottom w:val="750"/>
          <w:divBdr>
            <w:top w:val="none" w:sz="0" w:space="0" w:color="auto"/>
            <w:left w:val="none" w:sz="0" w:space="0" w:color="auto"/>
            <w:bottom w:val="none" w:sz="0" w:space="0" w:color="auto"/>
            <w:right w:val="none" w:sz="0" w:space="0" w:color="auto"/>
          </w:divBdr>
          <w:divsChild>
            <w:div w:id="1649896908">
              <w:marLeft w:val="-225"/>
              <w:marRight w:val="-225"/>
              <w:marTop w:val="0"/>
              <w:marBottom w:val="0"/>
              <w:divBdr>
                <w:top w:val="none" w:sz="0" w:space="0" w:color="auto"/>
                <w:left w:val="none" w:sz="0" w:space="0" w:color="auto"/>
                <w:bottom w:val="none" w:sz="0" w:space="0" w:color="auto"/>
                <w:right w:val="none" w:sz="0" w:space="0" w:color="auto"/>
              </w:divBdr>
            </w:div>
          </w:divsChild>
        </w:div>
        <w:div w:id="1769303057">
          <w:marLeft w:val="0"/>
          <w:marRight w:val="0"/>
          <w:marTop w:val="0"/>
          <w:marBottom w:val="300"/>
          <w:divBdr>
            <w:top w:val="none" w:sz="0" w:space="0" w:color="auto"/>
            <w:left w:val="none" w:sz="0" w:space="0" w:color="auto"/>
            <w:bottom w:val="none" w:sz="0" w:space="0" w:color="auto"/>
            <w:right w:val="none" w:sz="0" w:space="0" w:color="auto"/>
          </w:divBdr>
          <w:divsChild>
            <w:div w:id="825435702">
              <w:marLeft w:val="-225"/>
              <w:marRight w:val="-225"/>
              <w:marTop w:val="0"/>
              <w:marBottom w:val="0"/>
              <w:divBdr>
                <w:top w:val="none" w:sz="0" w:space="0" w:color="auto"/>
                <w:left w:val="none" w:sz="0" w:space="0" w:color="auto"/>
                <w:bottom w:val="none" w:sz="0" w:space="0" w:color="auto"/>
                <w:right w:val="none" w:sz="0" w:space="0" w:color="auto"/>
              </w:divBdr>
            </w:div>
          </w:divsChild>
        </w:div>
        <w:div w:id="1966620115">
          <w:marLeft w:val="0"/>
          <w:marRight w:val="0"/>
          <w:marTop w:val="0"/>
          <w:marBottom w:val="750"/>
          <w:divBdr>
            <w:top w:val="none" w:sz="0" w:space="0" w:color="auto"/>
            <w:left w:val="none" w:sz="0" w:space="0" w:color="auto"/>
            <w:bottom w:val="none" w:sz="0" w:space="0" w:color="auto"/>
            <w:right w:val="none" w:sz="0" w:space="0" w:color="auto"/>
          </w:divBdr>
          <w:divsChild>
            <w:div w:id="2096320724">
              <w:marLeft w:val="-225"/>
              <w:marRight w:val="-225"/>
              <w:marTop w:val="0"/>
              <w:marBottom w:val="0"/>
              <w:divBdr>
                <w:top w:val="none" w:sz="0" w:space="0" w:color="auto"/>
                <w:left w:val="none" w:sz="0" w:space="0" w:color="auto"/>
                <w:bottom w:val="none" w:sz="0" w:space="0" w:color="auto"/>
                <w:right w:val="none" w:sz="0" w:space="0" w:color="auto"/>
              </w:divBdr>
            </w:div>
          </w:divsChild>
        </w:div>
        <w:div w:id="1868447017">
          <w:marLeft w:val="0"/>
          <w:marRight w:val="0"/>
          <w:marTop w:val="0"/>
          <w:marBottom w:val="300"/>
          <w:divBdr>
            <w:top w:val="none" w:sz="0" w:space="0" w:color="auto"/>
            <w:left w:val="none" w:sz="0" w:space="0" w:color="auto"/>
            <w:bottom w:val="none" w:sz="0" w:space="0" w:color="auto"/>
            <w:right w:val="none" w:sz="0" w:space="0" w:color="auto"/>
          </w:divBdr>
          <w:divsChild>
            <w:div w:id="15023105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75e45-irelands-first-report-to-the-united-nations-committee-on-the-rights-of-persons-with-disabilities/" TargetMode="External"/><Relationship Id="rId3" Type="http://schemas.openxmlformats.org/officeDocument/2006/relationships/settings" Target="settings.xml"/><Relationship Id="rId7" Type="http://schemas.openxmlformats.org/officeDocument/2006/relationships/hyperlink" Target="https://www.gov.ie/pdf/?file=https://assets.gov.ie/213196/e930de51-e200-4fe5-aba8-ca6e81ecf2a7.pdf#page=n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e/pdf/?file=https://assets.gov.ie/213153/a6abe06d-5651-4313-b75c-46571b2378c2.pdf#page=null" TargetMode="External"/><Relationship Id="rId11" Type="http://schemas.openxmlformats.org/officeDocument/2006/relationships/theme" Target="theme/theme1.xml"/><Relationship Id="rId5" Type="http://schemas.openxmlformats.org/officeDocument/2006/relationships/hyperlink" Target="https://www.gov.ie/en/publication/8072c0-national-disability-inclusion-strategy-2017-20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talhealthreform.ie/wp-content/uploads/2021/04/DPCN-Response-to-State-Draft-Report-CRPD-9-April-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O'Callaghan</dc:creator>
  <cp:keywords/>
  <dc:description/>
  <cp:lastModifiedBy>Emma O'Callaghan</cp:lastModifiedBy>
  <cp:revision>1</cp:revision>
  <dcterms:created xsi:type="dcterms:W3CDTF">2023-03-09T10:47:00Z</dcterms:created>
  <dcterms:modified xsi:type="dcterms:W3CDTF">2023-03-09T10:53:00Z</dcterms:modified>
</cp:coreProperties>
</file>